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47</w:t>
      </w:r>
    </w:p>
    <w:p>
      <w:r>
        <w:t>Bundesgericht (BGE), 1986-02-07, DE</w:t>
      </w:r>
    </w:p>
    <w:p>
      <w:r>
        <w:rPr>
          <w:b/>
        </w:rPr>
        <w:t xml:space="preserve">Quelle: </w:t>
      </w:r>
      <w:r>
        <w:t>https://mcp.opencaselaw.ch/entscheid/bge_113 IV 47</w:t>
      </w:r>
    </w:p>
    <w:p>
      <w:r>
        <w:t>FR: ATF 113 IV 47</w:t>
      </w:r>
    </w:p>
    <w:p>
      <w:r>
        <w:t>IT: DTF 113 IV 47</w:t>
      </w:r>
    </w:p>
    <w:p>
      <w:pPr>
        <w:pStyle w:val="Heading2"/>
      </w:pPr>
      <w:r>
        <w:t>Regeste</w:t>
      </w:r>
    </w:p>
    <w:p>
      <w:r>
        <w:t>Regeste Art. 277ter BStP. Diese Bestimmung verbietet dem kantonalen Richter nicht, einen bestimmten Strafzumessungsgrund im Rückweisungsverfahren nach teilweiser Gutheissung einer eidgenössischen Nichtigkeitsbeschwerde unter Berücksichtigung neu hinzugekommener Strafmilderungs- oder Strafminderungsgründe anders zu gewichten als im ersten Verfahren (E. 4a).</w:t>
      </w:r>
    </w:p>
    <w:p>
      <w:pPr>
        <w:pStyle w:val="Heading2"/>
      </w:pPr>
      <w:r>
        <w:t>Erwägungen</w:t>
      </w:r>
    </w:p>
    <w:p>
      <w:r>
        <w:rPr>
          <w:b/>
        </w:rPr>
        <w:t>E. 4</w:t>
      </w:r>
    </w:p>
    <w:p>
      <w:r>
        <w:t>In der eidgenössischen Nichtigkeitsbeschwerde wird sodann unter Berufung auf die Art. 11, 63, 64, 68 StGB und Art. 277ter BStP die Strafzumessung angefochten. a) Der Beschwerdeführer vermag nicht darzulegen, inwiefern die Vorinstanz im zweiten Entscheid vom 7. Februar 1986 mit ihrer rechtlichen Würdigung der teilweisen Schuldenabzahlung an die durch die Betrüge gemäss Punkt II der Anklage vom 14. Februar 1983 geschädigte Fa. Amexco Art. 63 und 64 StGB verletzt habe. Aus dem ersten Urteil des Zürcher Obergerichts vom 3. Oktober 1983 geht nicht hervor, ob und in welchem Masse die "zugunsten" des Beschwerdeführers sprechende teilweise Wiedergutmachung des Schadens strafmildernd oder strafmindernd berücksichtigt wurde; Art. 64 StGB wird jedenfalls nicht erwähnt. Art. 277ter BStP verbietet dem kantonalen Richter im übrigen nicht, einen bestimmten Strafzumessungsgrund im Rückweisungsverfahren nach teilweiser Gutheissung einer eidgenössischen Nichtigkeitsbeschwerde unter Berücksichtigung neu hinzugekommener Strafmilderungs- oder Strafminderungsgründe anders zu gewichten als im ersten Verfahren. Der Richter hat diejenige Strafe auszufällen, die ihm unter Berücksichtigung der gesamten Umstände als angemessen erscheint, und es kann daher das Gewicht eines bestimmten Strafzumessungsgrundes nicht losgelöst von den übrigen Strafzumessungsfaktoren bestimmt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